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F19" w:rsidRPr="00A27202" w:rsidRDefault="000039A7" w:rsidP="00A27202">
      <w:pPr>
        <w:ind w:right="141"/>
        <w:rPr>
          <w:rFonts w:ascii="Arial" w:hAnsi="Arial" w:cs="Arial"/>
          <w:sz w:val="20"/>
          <w:szCs w:val="20"/>
        </w:rPr>
      </w:pPr>
      <w:r>
        <w:rPr>
          <w:noProof/>
          <w:lang w:eastAsia="de-DE"/>
        </w:rPr>
        <mc:AlternateContent>
          <mc:Choice Requires="wps">
            <w:drawing>
              <wp:anchor distT="0" distB="0" distL="114300" distR="114300" simplePos="0" relativeHeight="251658240" behindDoc="0" locked="0" layoutInCell="1" allowOverlap="1">
                <wp:simplePos x="0" y="0"/>
                <wp:positionH relativeFrom="page">
                  <wp:posOffset>997585</wp:posOffset>
                </wp:positionH>
                <wp:positionV relativeFrom="paragraph">
                  <wp:posOffset>-457200</wp:posOffset>
                </wp:positionV>
                <wp:extent cx="5943600" cy="1600200"/>
                <wp:effectExtent l="0" t="635" r="254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F19" w:rsidRPr="00657001" w:rsidRDefault="005047DD" w:rsidP="00571DF4">
                            <w:pPr>
                              <w:jc w:val="right"/>
                              <w:rPr>
                                <w:rFonts w:ascii="Arial" w:hAnsi="Arial" w:cs="Arial"/>
                                <w:b/>
                                <w:bCs/>
                                <w:color w:val="FFFFFF"/>
                              </w:rPr>
                            </w:pPr>
                            <w:r>
                              <w:rPr>
                                <w:rFonts w:ascii="Arial" w:hAnsi="Arial" w:cs="Arial"/>
                                <w:b/>
                                <w:bCs/>
                                <w:color w:val="FFFFFF"/>
                              </w:rPr>
                              <w:t>09</w:t>
                            </w:r>
                            <w:r w:rsidR="00694F19">
                              <w:rPr>
                                <w:rFonts w:ascii="Arial" w:hAnsi="Arial" w:cs="Arial"/>
                                <w:b/>
                                <w:bCs/>
                                <w:color w:val="FFFFFF"/>
                              </w:rPr>
                              <w:t>.</w:t>
                            </w:r>
                            <w:r>
                              <w:rPr>
                                <w:rFonts w:ascii="Arial" w:hAnsi="Arial" w:cs="Arial"/>
                                <w:b/>
                                <w:bCs/>
                                <w:color w:val="FFFFFF"/>
                              </w:rPr>
                              <w:t>12</w:t>
                            </w:r>
                            <w:r w:rsidR="00694F19">
                              <w:rPr>
                                <w:rFonts w:ascii="Arial" w:hAnsi="Arial" w:cs="Arial"/>
                                <w:b/>
                                <w:bCs/>
                                <w:color w:val="FFFFFF"/>
                              </w:rPr>
                              <w:t>.2016</w:t>
                            </w:r>
                          </w:p>
                          <w:p w:rsidR="00694F19" w:rsidRPr="00541D95" w:rsidRDefault="00694F19" w:rsidP="00F20911">
                            <w:pPr>
                              <w:jc w:val="right"/>
                              <w:rPr>
                                <w:rFonts w:ascii="Arial Narrow" w:hAnsi="Arial Narrow" w:cs="Arial Narrow"/>
                                <w:b/>
                                <w:bCs/>
                                <w:color w:val="EEECE1"/>
                                <w:sz w:val="36"/>
                                <w:szCs w:val="36"/>
                              </w:rPr>
                            </w:pPr>
                          </w:p>
                          <w:p w:rsidR="005047DD" w:rsidRPr="005047DD" w:rsidRDefault="005047DD" w:rsidP="005047DD">
                            <w:pPr>
                              <w:pStyle w:val="berschrift1"/>
                            </w:pPr>
                            <w:r w:rsidRPr="005047DD">
                              <w:t>Sicherheitstrennstation als automatischer Verbraucher beugt Stagnation im Trinkwassernetz vor</w:t>
                            </w:r>
                          </w:p>
                          <w:p w:rsidR="00694F19" w:rsidRPr="00F20911" w:rsidRDefault="00694F19" w:rsidP="00F20911"/>
                        </w:txbxContent>
                      </wps:txbx>
                      <wps:bodyPr rot="0" vert="horz" wrap="square" lIns="91440" tIns="91440" rIns="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78.55pt;margin-top:-36pt;width:468pt;height:1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" filled="f" stroked="f">
                <v:textbox inset=",7.2pt,0,7.2pt">
                  <w:txbxContent>
                    <w:p w:rsidR="00694F19" w:rsidRPr="00657001" w:rsidRDefault="005047DD" w:rsidP="00571DF4">
                      <w:pPr>
                        <w:jc w:val="right"/>
                        <w:rPr>
                          <w:rFonts w:ascii="Arial" w:hAnsi="Arial" w:cs="Arial"/>
                          <w:b/>
                          <w:bCs/>
                          <w:color w:val="FFFFFF"/>
                        </w:rPr>
                      </w:pPr>
                      <w:r>
                        <w:rPr>
                          <w:rFonts w:ascii="Arial" w:hAnsi="Arial" w:cs="Arial"/>
                          <w:b/>
                          <w:bCs/>
                          <w:color w:val="FFFFFF"/>
                        </w:rPr>
                        <w:t>09</w:t>
                      </w:r>
                      <w:r w:rsidR="00694F19">
                        <w:rPr>
                          <w:rFonts w:ascii="Arial" w:hAnsi="Arial" w:cs="Arial"/>
                          <w:b/>
                          <w:bCs/>
                          <w:color w:val="FFFFFF"/>
                        </w:rPr>
                        <w:t>.</w:t>
                      </w:r>
                      <w:r>
                        <w:rPr>
                          <w:rFonts w:ascii="Arial" w:hAnsi="Arial" w:cs="Arial"/>
                          <w:b/>
                          <w:bCs/>
                          <w:color w:val="FFFFFF"/>
                        </w:rPr>
                        <w:t>12</w:t>
                      </w:r>
                      <w:r w:rsidR="00694F19">
                        <w:rPr>
                          <w:rFonts w:ascii="Arial" w:hAnsi="Arial" w:cs="Arial"/>
                          <w:b/>
                          <w:bCs/>
                          <w:color w:val="FFFFFF"/>
                        </w:rPr>
                        <w:t>.2016</w:t>
                      </w:r>
                    </w:p>
                    <w:p w:rsidR="00694F19" w:rsidRPr="00541D95" w:rsidRDefault="00694F19" w:rsidP="00F20911">
                      <w:pPr>
                        <w:jc w:val="right"/>
                        <w:rPr>
                          <w:rFonts w:ascii="Arial Narrow" w:hAnsi="Arial Narrow" w:cs="Arial Narrow"/>
                          <w:b/>
                          <w:bCs/>
                          <w:color w:val="EEECE1"/>
                          <w:sz w:val="36"/>
                          <w:szCs w:val="36"/>
                        </w:rPr>
                      </w:pPr>
                    </w:p>
                    <w:p w:rsidR="005047DD" w:rsidRPr="005047DD" w:rsidRDefault="005047DD" w:rsidP="005047DD">
                      <w:pPr>
                        <w:pStyle w:val="berschrift1"/>
                      </w:pPr>
                      <w:r w:rsidRPr="005047DD">
                        <w:t>Sicherheitstrennstation als automatischer Verbraucher beugt Stagnation im Trinkwassernetz vor</w:t>
                      </w:r>
                    </w:p>
                    <w:p w:rsidR="00694F19" w:rsidRPr="00F20911" w:rsidRDefault="00694F19" w:rsidP="00F20911"/>
                  </w:txbxContent>
                </v:textbox>
                <w10:wrap anchorx="page"/>
              </v:shape>
            </w:pict>
          </mc:Fallback>
        </mc:AlternateContent>
      </w:r>
    </w:p>
    <w:p w:rsidR="00694F19" w:rsidRPr="00A27202" w:rsidRDefault="00694F19" w:rsidP="00A27202">
      <w:pPr>
        <w:ind w:right="141"/>
        <w:rPr>
          <w:rFonts w:ascii="Arial" w:hAnsi="Arial" w:cs="Arial"/>
          <w:sz w:val="20"/>
          <w:szCs w:val="20"/>
        </w:rPr>
      </w:pPr>
    </w:p>
    <w:p w:rsidR="00694F19" w:rsidRPr="00A27202" w:rsidRDefault="00694F19" w:rsidP="00A27202">
      <w:pPr>
        <w:ind w:right="141"/>
        <w:rPr>
          <w:rFonts w:ascii="Arial" w:hAnsi="Arial" w:cs="Arial"/>
          <w:sz w:val="20"/>
          <w:szCs w:val="20"/>
        </w:rPr>
      </w:pPr>
    </w:p>
    <w:p w:rsidR="00694F19" w:rsidRPr="00A27202" w:rsidRDefault="00694F19" w:rsidP="00A27202">
      <w:pPr>
        <w:ind w:right="141"/>
        <w:rPr>
          <w:rFonts w:ascii="Arial" w:hAnsi="Arial" w:cs="Arial"/>
          <w:sz w:val="20"/>
          <w:szCs w:val="20"/>
        </w:rPr>
      </w:pPr>
    </w:p>
    <w:p w:rsidR="00694F19" w:rsidRPr="00A27202" w:rsidRDefault="00694F19" w:rsidP="00A27202">
      <w:pPr>
        <w:ind w:right="141"/>
        <w:rPr>
          <w:rFonts w:ascii="Arial" w:hAnsi="Arial" w:cs="Arial"/>
          <w:sz w:val="20"/>
          <w:szCs w:val="20"/>
        </w:rPr>
      </w:pPr>
    </w:p>
    <w:p w:rsidR="00694F19" w:rsidRPr="00A27202" w:rsidRDefault="00694F19" w:rsidP="00A27202">
      <w:pPr>
        <w:ind w:right="141"/>
        <w:rPr>
          <w:rFonts w:ascii="Arial" w:hAnsi="Arial" w:cs="Arial"/>
          <w:sz w:val="20"/>
          <w:szCs w:val="20"/>
        </w:rPr>
      </w:pPr>
    </w:p>
    <w:p w:rsidR="00694F19" w:rsidRDefault="00694F19" w:rsidP="00A27202">
      <w:pPr>
        <w:ind w:right="141"/>
        <w:rPr>
          <w:rFonts w:ascii="Arial" w:hAnsi="Arial" w:cs="Arial"/>
          <w:sz w:val="20"/>
          <w:szCs w:val="20"/>
        </w:rPr>
      </w:pPr>
    </w:p>
    <w:p w:rsidR="00694F19" w:rsidRDefault="00694F19" w:rsidP="00A27202">
      <w:pPr>
        <w:ind w:right="141"/>
        <w:rPr>
          <w:rFonts w:ascii="Arial" w:hAnsi="Arial" w:cs="Arial"/>
          <w:b/>
          <w:bCs/>
          <w:color w:val="000000"/>
          <w:sz w:val="20"/>
          <w:szCs w:val="20"/>
        </w:rPr>
      </w:pPr>
    </w:p>
    <w:p w:rsidR="00694F19" w:rsidRDefault="00694F19" w:rsidP="00A27202">
      <w:pPr>
        <w:ind w:right="141"/>
        <w:rPr>
          <w:rFonts w:ascii="Arial" w:hAnsi="Arial" w:cs="Arial"/>
          <w:b/>
          <w:bCs/>
          <w:color w:val="000000"/>
          <w:sz w:val="20"/>
          <w:szCs w:val="20"/>
        </w:rPr>
      </w:pPr>
    </w:p>
    <w:p w:rsidR="005047DD" w:rsidRPr="005047DD" w:rsidRDefault="005047DD" w:rsidP="005047DD">
      <w:pPr>
        <w:pStyle w:val="berschrift2"/>
        <w:rPr>
          <w:b/>
        </w:rPr>
      </w:pPr>
      <w:r w:rsidRPr="005047DD">
        <w:rPr>
          <w:b/>
        </w:rPr>
        <w:t xml:space="preserve">„DehoustConnect“ sichert per Hygienespülung die Trinkwassergüte </w:t>
      </w:r>
    </w:p>
    <w:p w:rsidR="005047DD" w:rsidRDefault="005047DD" w:rsidP="005047DD">
      <w:pPr>
        <w:pStyle w:val="Kopftext"/>
      </w:pPr>
    </w:p>
    <w:p w:rsidR="005047DD" w:rsidRDefault="005047DD" w:rsidP="005047DD">
      <w:pPr>
        <w:pStyle w:val="Kopftext"/>
      </w:pPr>
      <w:r>
        <w:t xml:space="preserve">In häuslichen und gewerblich genutzten Trinkwasser-Installationen gibt es immer mehr Entnahmestellen, die nach DIN EN 1717 gegen Flüssigkeiten der Kategorie 5 abgesichert werden müssen. Dazu zählen beispielsweise Zapfstellen zum Waschen von Früchten und Gemüse in Lebensmittel-Betrieben, festinstallierte Reinigungsgeräte und Maschinen in der Industrie oder die Gartenbewässerungsanlage vom Eigenheim. Die Gefahr der </w:t>
      </w:r>
      <w:proofErr w:type="spellStart"/>
      <w:r>
        <w:t>Rückverkeimung</w:t>
      </w:r>
      <w:proofErr w:type="spellEnd"/>
      <w:r>
        <w:t xml:space="preserve"> in das Trinkwassernetz unterbinden beispielsweise Sicherheitstrennstationen der Reihe „DehoustConnect“. Durch die erweiterte, frei programmierbare Steuerung </w:t>
      </w:r>
      <w:r w:rsidRPr="004536B1">
        <w:t>können</w:t>
      </w:r>
      <w:r>
        <w:t xml:space="preserve"> diese Trennstationen nun auch als automatischer Verbraucher die Trinkwasserverteilung mit Hygienespülungen vor stagnationsbedingter </w:t>
      </w:r>
      <w:proofErr w:type="spellStart"/>
      <w:r>
        <w:t>Verkeimung</w:t>
      </w:r>
      <w:proofErr w:type="spellEnd"/>
      <w:r>
        <w:t xml:space="preserve"> schützen.</w:t>
      </w:r>
    </w:p>
    <w:p w:rsidR="005047DD" w:rsidRDefault="005047DD" w:rsidP="005047DD">
      <w:pPr>
        <w:pStyle w:val="Text"/>
      </w:pPr>
      <w:r>
        <w:t xml:space="preserve">Sicherheitstrennstationen des Typs „Connect“ wurden originär für die normgerechte Absicherung von Entnahmestellen mit größeren Volumina entwickelt. Durch den freien Auslauf (DIN EN 1717: Typ AB) schützen die Trennstationen die Trinkwasser-Installation über einen zwischengeschalteten Vorlagebehälter zuverlässig vor Beeinträchtigung durch rückfließendes Schmutzwasser, das möglicherweise </w:t>
      </w:r>
      <w:r w:rsidRPr="00924CFA">
        <w:t xml:space="preserve">mikrobielle oder </w:t>
      </w:r>
      <w:proofErr w:type="spellStart"/>
      <w:r w:rsidRPr="00924CFA">
        <w:t>viruelle</w:t>
      </w:r>
      <w:proofErr w:type="spellEnd"/>
      <w:r w:rsidRPr="00924CFA">
        <w:t xml:space="preserve"> Erreger übertragbarer Krankheiten</w:t>
      </w:r>
      <w:r>
        <w:t xml:space="preserve"> (DIN EN 1717: Flüssigkeitskategorie 5) enthält. Vor allem unter wirtschaftlichen Gesichtspunkten werden solche Installationen jetzt noch interessanter: Mit der neuen Steuerung „DehoustConnect“ können die Sicherheitstrennstationen gleichzeitig für Hygienespülungen zum Schutz vor Stagnation genutzt werden.</w:t>
      </w:r>
    </w:p>
    <w:p w:rsidR="005047DD" w:rsidRDefault="005047DD" w:rsidP="005047DD">
      <w:pPr>
        <w:pStyle w:val="Zwischentitel"/>
      </w:pPr>
    </w:p>
    <w:p w:rsidR="005047DD" w:rsidRDefault="005047DD" w:rsidP="005047DD">
      <w:pPr>
        <w:pStyle w:val="Zwischentitel"/>
      </w:pPr>
      <w:r>
        <w:t>Spülintervall frei programmierbar</w:t>
      </w:r>
    </w:p>
    <w:p w:rsidR="005047DD" w:rsidRDefault="005047DD" w:rsidP="005047DD">
      <w:pPr>
        <w:pStyle w:val="Text"/>
      </w:pPr>
      <w:r>
        <w:t xml:space="preserve">Ein automatisierter Wasseraustausch in Trinkwasser-Installationen ist immer dann notwendig, wenn der bestimmungsgemäße Betrieb durch Nutzungsunterbrechungen gestört wird. Dann stagniert das Trinkwasser im betroffenen Rohrleitungsnetz und erreicht sehr schnell ein Temperaturniveau, auf dem es in kürzester Zeit </w:t>
      </w:r>
      <w:proofErr w:type="spellStart"/>
      <w:r>
        <w:t>verkeimt</w:t>
      </w:r>
      <w:proofErr w:type="spellEnd"/>
      <w:r>
        <w:t xml:space="preserve">. </w:t>
      </w:r>
    </w:p>
    <w:p w:rsidR="005047DD" w:rsidRDefault="005047DD" w:rsidP="005047DD">
      <w:pPr>
        <w:pStyle w:val="Text"/>
      </w:pPr>
      <w:r>
        <w:t>Um das zu verhindern, muss gemäß DIN EN 806-5 spätestens nach sieben Tagen ein vollständiger Wasseraustausch erfolgen. Hygieniker bevorzugen jedoch die VDI/DVGW-Richtlinie 6023, die einen vollständigen Wasseraustausch nach spätestens drei Tagen, also 72 Stunden vorsieht. Typische Stellen in der Trinkwasserverteilung, die dem entgegenstehen, sind zum Beispiel unregelmäßig genutzte Duschen in der Umkleide eines Betriebes. Wird jedoch im Versorgungsstrang selten genutzter Entnahmestellen des Trinkwassernetzes die Sicherheitstrennstation „DehoustConnect“ angeschlossen, kann sie gleichzeitig als „automatischer Verbraucher“ fungieren.</w:t>
      </w:r>
    </w:p>
    <w:p w:rsidR="005047DD" w:rsidRDefault="005047DD" w:rsidP="005047DD">
      <w:pPr>
        <w:pStyle w:val="Text"/>
      </w:pPr>
    </w:p>
    <w:p w:rsidR="005047DD" w:rsidRDefault="005047DD" w:rsidP="005047DD">
      <w:pPr>
        <w:pStyle w:val="Text"/>
      </w:pPr>
    </w:p>
    <w:p w:rsidR="005047DD" w:rsidRDefault="005047DD" w:rsidP="005047DD">
      <w:pPr>
        <w:pStyle w:val="Text"/>
      </w:pPr>
    </w:p>
    <w:p w:rsidR="005047DD" w:rsidRDefault="005047DD" w:rsidP="005047DD">
      <w:pPr>
        <w:pStyle w:val="Text"/>
      </w:pPr>
    </w:p>
    <w:p w:rsidR="005047DD" w:rsidRDefault="005047DD" w:rsidP="005047DD">
      <w:pPr>
        <w:pStyle w:val="Text"/>
      </w:pPr>
    </w:p>
    <w:p w:rsidR="005047DD" w:rsidRDefault="005047DD" w:rsidP="005047DD">
      <w:pPr>
        <w:pStyle w:val="Text"/>
      </w:pPr>
    </w:p>
    <w:p w:rsidR="005047DD" w:rsidRDefault="005047DD" w:rsidP="005047DD">
      <w:pPr>
        <w:pStyle w:val="Text"/>
      </w:pPr>
    </w:p>
    <w:p w:rsidR="005047DD" w:rsidRDefault="005047DD" w:rsidP="005047DD">
      <w:pPr>
        <w:pStyle w:val="Text"/>
      </w:pPr>
      <w:r>
        <w:t xml:space="preserve">Abgestimmt auf das jeweilige </w:t>
      </w:r>
      <w:proofErr w:type="spellStart"/>
      <w:r>
        <w:t>Verkeimungsrisiko</w:t>
      </w:r>
      <w:proofErr w:type="spellEnd"/>
      <w:r>
        <w:t xml:space="preserve"> vor Ort, ermöglicht die neue Steuerung von Dehoust frei programmierbare Spülintervalle zwischen 24 Stunden und 7 Tagen. Je nach Ausstattung der Sicherheitstrennstation wird dann entweder nur das vorgelagerte Rohrleitungsnetz oder mittels der Zusatzfunktion Auto-Drain der gesamte Vorlagebehälter entleert. Ein vollständiger Wasseraustausch ist so sichergestellt.</w:t>
      </w:r>
    </w:p>
    <w:p w:rsidR="005047DD" w:rsidRDefault="005047DD" w:rsidP="005047DD">
      <w:pPr>
        <w:pStyle w:val="Text"/>
      </w:pPr>
      <w:r>
        <w:t>Die Dauer der Hygienespülung richtet sich dabei nach dem durch Stagnation betroffenen Anlagenvolumen. Es wird also zur Spülung nur so viel Wasser eingesetzt, wie unbedingt notwendig. Das schont die Ressourcen und unterstützt die Wirtschaftlichkeit der Sicherheitstrennstation im Betrieb.</w:t>
      </w:r>
    </w:p>
    <w:p w:rsidR="005047DD" w:rsidRDefault="005047DD" w:rsidP="005047DD">
      <w:pPr>
        <w:pStyle w:val="Zwischentitel"/>
      </w:pPr>
    </w:p>
    <w:p w:rsidR="005047DD" w:rsidRDefault="005047DD" w:rsidP="005047DD">
      <w:pPr>
        <w:pStyle w:val="Zwischentitel"/>
      </w:pPr>
      <w:r>
        <w:t>Sicherer Internetzugriff</w:t>
      </w:r>
    </w:p>
    <w:p w:rsidR="005047DD" w:rsidRDefault="005047DD" w:rsidP="005047DD">
      <w:pPr>
        <w:pStyle w:val="Text"/>
      </w:pPr>
      <w:r>
        <w:t>Die Programmierung der Hygienespülung erfolgt über das Bedienfeld des 7“-Touchscreens. Die Verbindung mit einem externen Gerät, beispielsweise mit einem Tablet-PC, ist per WLAN, Ethernet oder über ein Web-Interface möglich. Damit können auch aus der Ferne Betriebszustände eingesehen, einzelne Anlagenbauteile gesteuert oder Software-Updates eingespielt werden.</w:t>
      </w:r>
    </w:p>
    <w:p w:rsidR="005047DD" w:rsidRDefault="005047DD" w:rsidP="005047DD">
      <w:pPr>
        <w:pStyle w:val="Text"/>
      </w:pPr>
      <w:r>
        <w:t xml:space="preserve">Um vor Cyber-Angriffen zu schützen, die zu einem Anlagenausfall führen könnten, setzt Dehoust auf eine besondere Sicherheitstechnik: Der bauseits gestellte Router stellt ausschließlich eine Internetverbindung zwischen der Steuerung der Sicherheitstrennstation und dem Server von Dehoust her. Direkte Hacker-Zugriffe auf die Anlage über den Router des Betreibers sind damit ausgeschlossen. Außerdem bleibt die Sicherheitstrennstation auch ohne Internetverbindung störungsfrei im Betrieb. </w:t>
      </w:r>
    </w:p>
    <w:p w:rsidR="005047DD" w:rsidRDefault="005047DD" w:rsidP="005047DD">
      <w:pPr>
        <w:pStyle w:val="Text"/>
      </w:pPr>
      <w:r>
        <w:t xml:space="preserve">Für den einfachen Zugriff auf die „DehoustConnect“ stellt das Unternehmen eine übersichtliche App für Apple- und Android-Geräte bereit. Als Mehrwert enthält die App Planungshilfen, den gesamten Produktkatalog und eine schnelle Bestellmöglichkeit für Ersatzteile. </w:t>
      </w:r>
    </w:p>
    <w:p w:rsidR="005047DD" w:rsidRDefault="005047DD" w:rsidP="005047DD">
      <w:pPr>
        <w:pStyle w:val="Text"/>
      </w:pPr>
      <w:r>
        <w:t>Neben dem sicheren Fernzugriff per Touch auf die „DehoustConnect“, beispielsweise durch einen SHK-Fachmann, überzeugt die smarte App-Steuerung durch einen Push-Service, der eventuelle Störmeldungen direkt an mobile Endgeräte sendet. Auch ein Auslesen der Protokolle zur Dokumentation der Betreiberpflichten ist dadurch ganz einfach möglich.</w:t>
      </w:r>
    </w:p>
    <w:p w:rsidR="005047DD" w:rsidRDefault="005047DD" w:rsidP="005047DD">
      <w:pPr>
        <w:pStyle w:val="Text"/>
      </w:pPr>
      <w:r>
        <w:t>Weitere Informationen unter</w:t>
      </w:r>
      <w:r>
        <w:br/>
      </w:r>
      <w:r w:rsidRPr="00AC476D">
        <w:t>www.dehoust.de</w:t>
      </w: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B4163A" w:rsidP="005047DD">
      <w:pPr>
        <w:pStyle w:val="Text"/>
      </w:pPr>
    </w:p>
    <w:p w:rsidR="00B4163A" w:rsidRDefault="005047DD" w:rsidP="005047DD">
      <w:pPr>
        <w:pStyle w:val="Text"/>
      </w:pPr>
      <w:r>
        <w:t xml:space="preserve">Messehinweis: Die „DehoustConnect“ ist in Aktion auf der ISH 2017 in Frankfurt a.M. zu sehen </w:t>
      </w:r>
    </w:p>
    <w:p w:rsidR="005047DD" w:rsidRDefault="005047DD" w:rsidP="005047DD">
      <w:pPr>
        <w:pStyle w:val="Text"/>
      </w:pPr>
      <w:r>
        <w:t xml:space="preserve">– Halle </w:t>
      </w:r>
      <w:r>
        <w:rPr>
          <w:rStyle w:val="asblock"/>
        </w:rPr>
        <w:t>9.1, Stand E 29.</w:t>
      </w:r>
      <w:r>
        <w:t xml:space="preserve"> </w:t>
      </w:r>
    </w:p>
    <w:p w:rsidR="005047DD" w:rsidRDefault="005047DD" w:rsidP="005047DD">
      <w:pPr>
        <w:pStyle w:val="Text"/>
      </w:pPr>
    </w:p>
    <w:p w:rsidR="005047DD" w:rsidRDefault="00B4163A" w:rsidP="00E8378C">
      <w:pPr>
        <w:pStyle w:val="EinfacherAbsatz"/>
        <w:spacing w:after="57"/>
        <w:rPr>
          <w:rFonts w:ascii="Arial" w:hAnsi="Arial" w:cs="Arial"/>
          <w:b/>
          <w:bCs/>
          <w:color w:val="2A6AB7"/>
          <w:spacing w:val="-2"/>
          <w:sz w:val="20"/>
          <w:szCs w:val="20"/>
        </w:rPr>
      </w:pPr>
      <w:r>
        <w:rPr>
          <w:noProof/>
          <w:lang w:eastAsia="de-DE"/>
        </w:rPr>
        <w:drawing>
          <wp:anchor distT="0" distB="0" distL="114300" distR="114300" simplePos="0" relativeHeight="251663360" behindDoc="1" locked="0" layoutInCell="1" allowOverlap="1" wp14:anchorId="4DD83C36" wp14:editId="7B8AC459">
            <wp:simplePos x="0" y="0"/>
            <wp:positionH relativeFrom="column">
              <wp:posOffset>33020</wp:posOffset>
            </wp:positionH>
            <wp:positionV relativeFrom="paragraph">
              <wp:posOffset>103505</wp:posOffset>
            </wp:positionV>
            <wp:extent cx="2400935" cy="1800860"/>
            <wp:effectExtent l="0" t="0" r="5715" b="0"/>
            <wp:wrapNone/>
            <wp:docPr id="6" name="Bild 6" descr="Sicherheitstrennstation Connect 11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cherheitstrennstation Connect 11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0935" cy="1800860"/>
                    </a:xfrm>
                    <a:prstGeom prst="rect">
                      <a:avLst/>
                    </a:prstGeom>
                    <a:noFill/>
                  </pic:spPr>
                </pic:pic>
              </a:graphicData>
            </a:graphic>
            <wp14:sizeRelH relativeFrom="page">
              <wp14:pctWidth>0</wp14:pctWidth>
            </wp14:sizeRelH>
            <wp14:sizeRelV relativeFrom="page">
              <wp14:pctHeight>0</wp14:pctHeight>
            </wp14:sizeRelV>
          </wp:anchor>
        </w:drawing>
      </w:r>
    </w:p>
    <w:p w:rsidR="005047DD" w:rsidRDefault="005047DD" w:rsidP="00E8378C">
      <w:pPr>
        <w:pStyle w:val="EinfacherAbsatz"/>
        <w:spacing w:after="57"/>
        <w:rPr>
          <w:rFonts w:ascii="Arial" w:hAnsi="Arial" w:cs="Arial"/>
          <w:b/>
          <w:bCs/>
          <w:color w:val="2A6AB7"/>
          <w:spacing w:val="-2"/>
          <w:sz w:val="20"/>
          <w:szCs w:val="20"/>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C10530" w:rsidRDefault="00C10530" w:rsidP="005047DD">
      <w:pPr>
        <w:pStyle w:val="Text"/>
        <w:spacing w:before="0" w:after="0"/>
        <w:rPr>
          <w:rStyle w:val="Fett"/>
        </w:rPr>
      </w:pPr>
    </w:p>
    <w:p w:rsidR="005047DD" w:rsidRDefault="005047DD" w:rsidP="005047DD">
      <w:pPr>
        <w:pStyle w:val="Text"/>
        <w:spacing w:before="0" w:after="0"/>
      </w:pPr>
      <w:r w:rsidRPr="00914DB6">
        <w:rPr>
          <w:rStyle w:val="Fett"/>
        </w:rPr>
        <w:t>Bildunterschriften:</w:t>
      </w:r>
      <w:r w:rsidRPr="00914DB6">
        <w:t xml:space="preserve"> </w:t>
      </w:r>
    </w:p>
    <w:p w:rsidR="005047DD" w:rsidRDefault="005047DD" w:rsidP="005047DD">
      <w:pPr>
        <w:pStyle w:val="Text"/>
        <w:spacing w:before="0" w:after="0"/>
      </w:pPr>
      <w:r>
        <w:t>Sicherheitstrennstationen vom Typ „DehoustConnect“ verhindern nicht nur nor</w:t>
      </w:r>
      <w:bookmarkStart w:id="0" w:name="_GoBack"/>
      <w:bookmarkEnd w:id="0"/>
      <w:r>
        <w:t xml:space="preserve">mgerecht die </w:t>
      </w:r>
      <w:proofErr w:type="spellStart"/>
      <w:r>
        <w:t>Rückverkeimung</w:t>
      </w:r>
      <w:proofErr w:type="spellEnd"/>
      <w:r>
        <w:t xml:space="preserve"> der Trinkwasserverteilung, sondern können zudem automatische Hygienespülungen auslösen, um vor </w:t>
      </w:r>
      <w:proofErr w:type="spellStart"/>
      <w:r>
        <w:t>Verkeimungen</w:t>
      </w:r>
      <w:proofErr w:type="spellEnd"/>
      <w:r>
        <w:t xml:space="preserve"> durch Stagnationswasser zu schützen.</w:t>
      </w:r>
      <w:r w:rsidRPr="00914DB6">
        <w:t xml:space="preserve"> </w:t>
      </w:r>
      <w:r>
        <w:t>(Fotos: Dehoust)</w:t>
      </w:r>
    </w:p>
    <w:p w:rsidR="005047DD" w:rsidRDefault="00C10530" w:rsidP="005047DD">
      <w:pPr>
        <w:pStyle w:val="berschrift1"/>
      </w:pPr>
      <w:r>
        <w:rPr>
          <w:noProof/>
        </w:rPr>
        <w:drawing>
          <wp:anchor distT="0" distB="0" distL="114300" distR="114300" simplePos="0" relativeHeight="251664384" behindDoc="1" locked="0" layoutInCell="1" allowOverlap="1" wp14:anchorId="2D2B4BF6" wp14:editId="710DF142">
            <wp:simplePos x="0" y="0"/>
            <wp:positionH relativeFrom="margin">
              <wp:align>left</wp:align>
            </wp:positionH>
            <wp:positionV relativeFrom="paragraph">
              <wp:posOffset>148590</wp:posOffset>
            </wp:positionV>
            <wp:extent cx="3312794" cy="1764665"/>
            <wp:effectExtent l="0" t="0" r="2540" b="6985"/>
            <wp:wrapNone/>
            <wp:docPr id="7" name="Bild 7" descr="Stagn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agna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2794" cy="1764665"/>
                    </a:xfrm>
                    <a:prstGeom prst="rect">
                      <a:avLst/>
                    </a:prstGeom>
                    <a:noFill/>
                  </pic:spPr>
                </pic:pic>
              </a:graphicData>
            </a:graphic>
            <wp14:sizeRelH relativeFrom="page">
              <wp14:pctWidth>0</wp14:pctWidth>
            </wp14:sizeRelH>
            <wp14:sizeRelV relativeFrom="page">
              <wp14:pctHeight>0</wp14:pctHeight>
            </wp14:sizeRelV>
          </wp:anchor>
        </w:drawing>
      </w:r>
    </w:p>
    <w:p w:rsidR="005047DD" w:rsidRDefault="005047DD" w:rsidP="005047DD">
      <w:pPr>
        <w:pStyle w:val="Text"/>
        <w:spacing w:before="0" w:after="0"/>
        <w:rPr>
          <w:noProof/>
        </w:rPr>
      </w:pPr>
    </w:p>
    <w:p w:rsidR="00C10530" w:rsidRDefault="00C10530" w:rsidP="005047DD">
      <w:pPr>
        <w:pStyle w:val="Text"/>
        <w:spacing w:before="0" w:after="0"/>
        <w:rPr>
          <w:noProof/>
        </w:rPr>
      </w:pPr>
    </w:p>
    <w:p w:rsidR="00C10530" w:rsidRDefault="00C10530" w:rsidP="005047DD">
      <w:pPr>
        <w:pStyle w:val="Text"/>
        <w:spacing w:before="0" w:after="0"/>
        <w:rPr>
          <w:noProof/>
        </w:rPr>
      </w:pPr>
    </w:p>
    <w:p w:rsidR="00C10530" w:rsidRDefault="00C10530" w:rsidP="005047DD">
      <w:pPr>
        <w:pStyle w:val="Text"/>
        <w:spacing w:before="0" w:after="0"/>
        <w:rPr>
          <w:noProof/>
        </w:rPr>
      </w:pPr>
    </w:p>
    <w:p w:rsidR="00C10530" w:rsidRDefault="00C10530" w:rsidP="005047DD">
      <w:pPr>
        <w:pStyle w:val="Text"/>
        <w:spacing w:before="0" w:after="0"/>
        <w:rPr>
          <w:noProof/>
        </w:rPr>
      </w:pPr>
    </w:p>
    <w:p w:rsidR="00C10530" w:rsidRDefault="00C10530" w:rsidP="005047DD">
      <w:pPr>
        <w:pStyle w:val="Text"/>
        <w:spacing w:before="0" w:after="0"/>
        <w:rPr>
          <w:noProof/>
        </w:rPr>
      </w:pPr>
    </w:p>
    <w:p w:rsidR="00C10530" w:rsidRDefault="00C10530" w:rsidP="005047DD">
      <w:pPr>
        <w:pStyle w:val="Text"/>
        <w:spacing w:before="0" w:after="0"/>
      </w:pPr>
    </w:p>
    <w:p w:rsidR="00C10530" w:rsidRDefault="00C10530" w:rsidP="005047DD">
      <w:pPr>
        <w:pStyle w:val="Text"/>
        <w:spacing w:before="0" w:after="0"/>
      </w:pPr>
    </w:p>
    <w:p w:rsidR="005047DD" w:rsidRDefault="005047DD" w:rsidP="005047DD">
      <w:pPr>
        <w:pStyle w:val="Text"/>
        <w:spacing w:before="0" w:after="0"/>
      </w:pPr>
      <w:r>
        <w:t xml:space="preserve">(Motiv: </w:t>
      </w:r>
      <w:r w:rsidRPr="00D84A06">
        <w:t>Screen DehoustConnect.jpg</w:t>
      </w:r>
      <w:r>
        <w:t>)</w:t>
      </w:r>
    </w:p>
    <w:p w:rsidR="005047DD" w:rsidRDefault="00C10530" w:rsidP="005047DD">
      <w:pPr>
        <w:pStyle w:val="Text"/>
        <w:spacing w:before="0" w:after="0"/>
      </w:pPr>
      <w:r>
        <w:t>Ü</w:t>
      </w:r>
      <w:r w:rsidR="005047DD">
        <w:t xml:space="preserve">ber die Steuerung „DehoustConnect“ kann mit wenigen Einstellungen die automatische Hygienespülung der vorgelagerten Trinkwasser-Installation programmiert werden. </w:t>
      </w:r>
    </w:p>
    <w:p w:rsidR="005047DD" w:rsidRDefault="005047DD" w:rsidP="005047DD">
      <w:pPr>
        <w:pStyle w:val="Text"/>
        <w:spacing w:before="0" w:after="0"/>
      </w:pPr>
    </w:p>
    <w:p w:rsidR="005047DD" w:rsidRDefault="005047DD" w:rsidP="00E8378C">
      <w:pPr>
        <w:pStyle w:val="EinfacherAbsatz"/>
        <w:spacing w:after="57"/>
        <w:rPr>
          <w:rFonts w:ascii="Arial" w:hAnsi="Arial" w:cs="Arial"/>
          <w:b/>
          <w:bCs/>
          <w:color w:val="2A6AB7"/>
          <w:spacing w:val="-2"/>
          <w:sz w:val="20"/>
          <w:szCs w:val="20"/>
        </w:rPr>
      </w:pPr>
    </w:p>
    <w:p w:rsidR="005047DD" w:rsidRDefault="005047DD" w:rsidP="00E8378C">
      <w:pPr>
        <w:pStyle w:val="EinfacherAbsatz"/>
        <w:spacing w:after="57"/>
        <w:rPr>
          <w:rFonts w:ascii="Arial" w:hAnsi="Arial" w:cs="Arial"/>
          <w:b/>
          <w:bCs/>
          <w:color w:val="2A6AB7"/>
          <w:spacing w:val="-2"/>
          <w:sz w:val="20"/>
          <w:szCs w:val="20"/>
        </w:rPr>
      </w:pPr>
    </w:p>
    <w:p w:rsidR="005047DD" w:rsidRDefault="005047DD" w:rsidP="00E8378C">
      <w:pPr>
        <w:pStyle w:val="EinfacherAbsatz"/>
        <w:spacing w:after="57"/>
        <w:rPr>
          <w:rFonts w:ascii="Arial" w:hAnsi="Arial" w:cs="Arial"/>
          <w:b/>
          <w:bCs/>
          <w:color w:val="2A6AB7"/>
          <w:spacing w:val="-2"/>
          <w:sz w:val="20"/>
          <w:szCs w:val="20"/>
        </w:rPr>
      </w:pPr>
    </w:p>
    <w:p w:rsidR="005047DD" w:rsidRDefault="005047DD" w:rsidP="00E8378C">
      <w:pPr>
        <w:pStyle w:val="EinfacherAbsatz"/>
        <w:spacing w:after="57"/>
        <w:rPr>
          <w:rFonts w:ascii="Arial" w:hAnsi="Arial" w:cs="Arial"/>
          <w:b/>
          <w:bCs/>
          <w:color w:val="2A6AB7"/>
          <w:spacing w:val="-2"/>
          <w:sz w:val="20"/>
          <w:szCs w:val="20"/>
        </w:rPr>
      </w:pPr>
    </w:p>
    <w:p w:rsidR="005047DD" w:rsidRDefault="005047DD" w:rsidP="00E8378C">
      <w:pPr>
        <w:pStyle w:val="EinfacherAbsatz"/>
        <w:spacing w:after="57"/>
        <w:rPr>
          <w:rFonts w:ascii="Arial" w:hAnsi="Arial" w:cs="Arial"/>
          <w:b/>
          <w:bCs/>
          <w:color w:val="2A6AB7"/>
          <w:spacing w:val="-2"/>
          <w:sz w:val="20"/>
          <w:szCs w:val="20"/>
        </w:rPr>
      </w:pPr>
    </w:p>
    <w:p w:rsidR="005047DD" w:rsidRDefault="005047DD" w:rsidP="00E8378C">
      <w:pPr>
        <w:pStyle w:val="EinfacherAbsatz"/>
        <w:spacing w:after="57"/>
        <w:rPr>
          <w:rFonts w:ascii="Arial" w:hAnsi="Arial" w:cs="Arial"/>
          <w:b/>
          <w:bCs/>
          <w:color w:val="2A6AB7"/>
          <w:spacing w:val="-2"/>
          <w:sz w:val="20"/>
          <w:szCs w:val="20"/>
        </w:rPr>
      </w:pPr>
    </w:p>
    <w:p w:rsidR="00C10530" w:rsidRDefault="00C10530" w:rsidP="00E8378C">
      <w:pPr>
        <w:pStyle w:val="EinfacherAbsatz"/>
        <w:spacing w:after="57"/>
        <w:rPr>
          <w:rFonts w:ascii="Arial" w:hAnsi="Arial" w:cs="Arial"/>
          <w:b/>
          <w:bCs/>
          <w:color w:val="2A6AB7"/>
          <w:spacing w:val="-2"/>
          <w:sz w:val="20"/>
          <w:szCs w:val="20"/>
        </w:rPr>
      </w:pPr>
    </w:p>
    <w:p w:rsidR="00C10530" w:rsidRDefault="00C10530" w:rsidP="00E8378C">
      <w:pPr>
        <w:pStyle w:val="EinfacherAbsatz"/>
        <w:spacing w:after="57"/>
        <w:rPr>
          <w:rFonts w:ascii="Arial" w:hAnsi="Arial" w:cs="Arial"/>
          <w:b/>
          <w:bCs/>
          <w:color w:val="2A6AB7"/>
          <w:spacing w:val="-2"/>
          <w:sz w:val="20"/>
          <w:szCs w:val="20"/>
        </w:rPr>
      </w:pPr>
    </w:p>
    <w:p w:rsidR="00C10530" w:rsidRDefault="00C10530" w:rsidP="00E8378C">
      <w:pPr>
        <w:pStyle w:val="EinfacherAbsatz"/>
        <w:spacing w:after="57"/>
        <w:rPr>
          <w:rFonts w:ascii="Arial" w:hAnsi="Arial" w:cs="Arial"/>
          <w:b/>
          <w:bCs/>
          <w:color w:val="2A6AB7"/>
          <w:spacing w:val="-2"/>
          <w:sz w:val="20"/>
          <w:szCs w:val="20"/>
        </w:rPr>
      </w:pPr>
    </w:p>
    <w:p w:rsidR="00C10530" w:rsidRDefault="00C10530" w:rsidP="00E8378C">
      <w:pPr>
        <w:pStyle w:val="EinfacherAbsatz"/>
        <w:spacing w:after="57"/>
        <w:rPr>
          <w:rFonts w:ascii="Arial" w:hAnsi="Arial" w:cs="Arial"/>
          <w:b/>
          <w:bCs/>
          <w:color w:val="2A6AB7"/>
          <w:spacing w:val="-2"/>
          <w:sz w:val="20"/>
          <w:szCs w:val="20"/>
        </w:rPr>
      </w:pPr>
    </w:p>
    <w:p w:rsidR="00C10530" w:rsidRDefault="00C10530" w:rsidP="00E8378C">
      <w:pPr>
        <w:pStyle w:val="EinfacherAbsatz"/>
        <w:spacing w:after="57"/>
        <w:rPr>
          <w:rFonts w:ascii="Arial" w:hAnsi="Arial" w:cs="Arial"/>
          <w:b/>
          <w:bCs/>
          <w:color w:val="2A6AB7"/>
          <w:spacing w:val="-2"/>
          <w:sz w:val="20"/>
          <w:szCs w:val="20"/>
        </w:rPr>
      </w:pPr>
    </w:p>
    <w:p w:rsidR="00C10530" w:rsidRDefault="00C10530" w:rsidP="00E8378C">
      <w:pPr>
        <w:pStyle w:val="EinfacherAbsatz"/>
        <w:spacing w:after="57"/>
        <w:rPr>
          <w:rFonts w:ascii="Arial" w:hAnsi="Arial" w:cs="Arial"/>
          <w:b/>
          <w:bCs/>
          <w:color w:val="2A6AB7"/>
          <w:spacing w:val="-2"/>
          <w:sz w:val="20"/>
          <w:szCs w:val="20"/>
        </w:rPr>
      </w:pPr>
    </w:p>
    <w:p w:rsidR="00127EDF" w:rsidRPr="00291C22" w:rsidRDefault="00291C22" w:rsidP="00E8378C">
      <w:pPr>
        <w:pStyle w:val="EinfacherAbsatz"/>
        <w:spacing w:after="57"/>
        <w:rPr>
          <w:rFonts w:ascii="Arial" w:hAnsi="Arial" w:cs="Arial"/>
          <w:b/>
          <w:bCs/>
          <w:color w:val="2A6AB7"/>
          <w:spacing w:val="-2"/>
          <w:sz w:val="20"/>
          <w:szCs w:val="20"/>
        </w:rPr>
      </w:pPr>
      <w:r w:rsidRPr="00291C22">
        <w:rPr>
          <w:rFonts w:ascii="Arial" w:hAnsi="Arial" w:cs="Arial"/>
          <w:b/>
          <w:bCs/>
          <w:color w:val="2A6AB7"/>
          <w:spacing w:val="-2"/>
          <w:sz w:val="20"/>
          <w:szCs w:val="20"/>
        </w:rPr>
        <w:t>Die oben stehenden Bilder finden Sie unter</w:t>
      </w:r>
    </w:p>
    <w:p w:rsidR="00291C22" w:rsidRPr="00291C22" w:rsidRDefault="00BD6ADC" w:rsidP="00E8378C">
      <w:pPr>
        <w:pStyle w:val="EinfacherAbsatz"/>
        <w:spacing w:after="57"/>
        <w:rPr>
          <w:rFonts w:ascii="Arial" w:hAnsi="Arial" w:cs="Arial"/>
          <w:b/>
          <w:bCs/>
          <w:color w:val="2A6AB7"/>
          <w:spacing w:val="-2"/>
          <w:sz w:val="20"/>
          <w:szCs w:val="20"/>
        </w:rPr>
      </w:pPr>
      <w:hyperlink r:id="rId9" w:history="1">
        <w:r w:rsidR="00291C22" w:rsidRPr="00291C22">
          <w:rPr>
            <w:rStyle w:val="Hyperlink"/>
            <w:rFonts w:ascii="Arial" w:hAnsi="Arial" w:cs="Arial"/>
            <w:b/>
            <w:bCs/>
            <w:spacing w:val="-2"/>
            <w:sz w:val="20"/>
            <w:szCs w:val="20"/>
          </w:rPr>
          <w:t>www.dimebi.de/dehoust</w:t>
        </w:r>
      </w:hyperlink>
    </w:p>
    <w:p w:rsidR="00291C22" w:rsidRPr="00291C22" w:rsidRDefault="00291C22" w:rsidP="00E8378C">
      <w:pPr>
        <w:pStyle w:val="EinfacherAbsatz"/>
        <w:spacing w:after="57"/>
        <w:rPr>
          <w:rFonts w:ascii="Arial" w:hAnsi="Arial" w:cs="Arial"/>
          <w:b/>
          <w:bCs/>
          <w:color w:val="2A6AB7"/>
          <w:spacing w:val="-2"/>
          <w:sz w:val="20"/>
          <w:szCs w:val="20"/>
        </w:rPr>
      </w:pPr>
      <w:r w:rsidRPr="00291C22">
        <w:rPr>
          <w:rFonts w:ascii="Arial" w:hAnsi="Arial" w:cs="Arial"/>
          <w:b/>
          <w:bCs/>
          <w:color w:val="2A6AB7"/>
          <w:spacing w:val="-2"/>
          <w:sz w:val="20"/>
          <w:szCs w:val="20"/>
        </w:rPr>
        <w:t>(Zugangsdaten: User= Gast, Passwort= Presse).</w:t>
      </w:r>
    </w:p>
    <w:p w:rsidR="00127EDF" w:rsidRDefault="00127EDF" w:rsidP="00E8378C">
      <w:pPr>
        <w:pStyle w:val="EinfacherAbsatz"/>
        <w:spacing w:after="57"/>
        <w:rPr>
          <w:rFonts w:ascii="Arial" w:hAnsi="Arial" w:cs="Arial"/>
          <w:b/>
          <w:bCs/>
          <w:color w:val="2A6AB7"/>
          <w:spacing w:val="-2"/>
          <w:sz w:val="18"/>
          <w:szCs w:val="18"/>
        </w:rPr>
      </w:pPr>
    </w:p>
    <w:p w:rsidR="00127EDF" w:rsidRDefault="00127EDF" w:rsidP="00E8378C">
      <w:pPr>
        <w:pStyle w:val="EinfacherAbsatz"/>
        <w:spacing w:after="57"/>
        <w:rPr>
          <w:rFonts w:ascii="Arial" w:hAnsi="Arial" w:cs="Arial"/>
          <w:b/>
          <w:bCs/>
          <w:color w:val="2A6AB7"/>
          <w:spacing w:val="-2"/>
          <w:sz w:val="18"/>
          <w:szCs w:val="18"/>
        </w:rPr>
      </w:pPr>
    </w:p>
    <w:p w:rsidR="00694F19" w:rsidRPr="001C6119" w:rsidRDefault="00694F19" w:rsidP="00E8378C">
      <w:pPr>
        <w:pStyle w:val="EinfacherAbsatz"/>
        <w:spacing w:after="57"/>
        <w:rPr>
          <w:rFonts w:ascii="Arial" w:hAnsi="Arial" w:cs="Arial"/>
          <w:b/>
          <w:bCs/>
        </w:rPr>
      </w:pPr>
      <w:r w:rsidRPr="001C6119">
        <w:rPr>
          <w:rFonts w:ascii="Arial" w:hAnsi="Arial" w:cs="Arial"/>
          <w:b/>
          <w:bCs/>
          <w:color w:val="2A6AB7"/>
          <w:spacing w:val="-2"/>
          <w:sz w:val="18"/>
          <w:szCs w:val="18"/>
        </w:rPr>
        <w:t>Bei Abdruck bitte Belegexemplar an folgende Adresse:</w:t>
      </w:r>
    </w:p>
    <w:p w:rsidR="00694F19" w:rsidRDefault="00694F19" w:rsidP="00E8378C">
      <w:pPr>
        <w:pStyle w:val="EinfacherAbsatz"/>
        <w:rPr>
          <w:rFonts w:ascii="Arial" w:hAnsi="Arial" w:cs="Arial"/>
          <w:b/>
          <w:bCs/>
          <w:sz w:val="18"/>
          <w:szCs w:val="18"/>
        </w:rPr>
      </w:pPr>
      <w:r w:rsidRPr="001C6119">
        <w:rPr>
          <w:rFonts w:ascii="Arial" w:hAnsi="Arial" w:cs="Arial"/>
          <w:b/>
          <w:bCs/>
          <w:sz w:val="18"/>
          <w:szCs w:val="18"/>
        </w:rPr>
        <w:t>Dehoust GmbH</w:t>
      </w:r>
    </w:p>
    <w:p w:rsidR="00694F19" w:rsidRPr="00571DF4" w:rsidRDefault="00694F19" w:rsidP="00E8378C">
      <w:pPr>
        <w:pStyle w:val="EinfacherAbsatz"/>
        <w:rPr>
          <w:rFonts w:ascii="Arial" w:hAnsi="Arial" w:cs="Arial"/>
          <w:sz w:val="18"/>
          <w:szCs w:val="18"/>
        </w:rPr>
      </w:pPr>
      <w:r>
        <w:rPr>
          <w:rFonts w:ascii="Arial" w:hAnsi="Arial" w:cs="Arial"/>
          <w:sz w:val="18"/>
          <w:szCs w:val="18"/>
        </w:rPr>
        <w:t>Frau Sylvia Zimmermann</w:t>
      </w:r>
    </w:p>
    <w:p w:rsidR="00694F19" w:rsidRPr="001C6119" w:rsidRDefault="00694F19" w:rsidP="00E8378C">
      <w:pPr>
        <w:pStyle w:val="EinfacherAbsatz"/>
        <w:rPr>
          <w:rFonts w:ascii="Arial" w:hAnsi="Arial" w:cs="Arial"/>
          <w:sz w:val="18"/>
          <w:szCs w:val="18"/>
        </w:rPr>
      </w:pPr>
      <w:r w:rsidRPr="001C6119">
        <w:rPr>
          <w:rFonts w:ascii="Arial" w:hAnsi="Arial" w:cs="Arial"/>
          <w:sz w:val="18"/>
          <w:szCs w:val="18"/>
        </w:rPr>
        <w:t>Gutenbergstraße 5-7</w:t>
      </w:r>
    </w:p>
    <w:p w:rsidR="00694F19" w:rsidRPr="001C6119" w:rsidRDefault="00694F19" w:rsidP="00E8378C">
      <w:pPr>
        <w:pStyle w:val="EinfacherAbsatz"/>
        <w:rPr>
          <w:rFonts w:ascii="Arial" w:hAnsi="Arial" w:cs="Arial"/>
          <w:sz w:val="18"/>
          <w:szCs w:val="18"/>
        </w:rPr>
      </w:pPr>
      <w:r w:rsidRPr="001C6119">
        <w:rPr>
          <w:rFonts w:ascii="Arial" w:hAnsi="Arial" w:cs="Arial"/>
          <w:sz w:val="18"/>
          <w:szCs w:val="18"/>
        </w:rPr>
        <w:t>D-69181 Leimen</w:t>
      </w:r>
    </w:p>
    <w:p w:rsidR="00694F19" w:rsidRPr="001C6119" w:rsidRDefault="00694F19" w:rsidP="00E8378C">
      <w:pPr>
        <w:pStyle w:val="EinfacherAbsatz"/>
        <w:rPr>
          <w:rFonts w:ascii="Arial" w:hAnsi="Arial" w:cs="Arial"/>
          <w:sz w:val="18"/>
          <w:szCs w:val="18"/>
        </w:rPr>
      </w:pPr>
      <w:r w:rsidRPr="001C6119">
        <w:rPr>
          <w:rFonts w:ascii="Arial" w:hAnsi="Arial" w:cs="Arial"/>
          <w:sz w:val="18"/>
          <w:szCs w:val="18"/>
        </w:rPr>
        <w:t>Tel. +49 (0) 62 24 / 97 02-0</w:t>
      </w:r>
    </w:p>
    <w:p w:rsidR="00694F19" w:rsidRPr="001C6119" w:rsidRDefault="00694F19" w:rsidP="00E8378C">
      <w:pPr>
        <w:pStyle w:val="EinfacherAbsatz"/>
        <w:rPr>
          <w:rFonts w:ascii="Arial" w:hAnsi="Arial" w:cs="Arial"/>
          <w:sz w:val="18"/>
          <w:szCs w:val="18"/>
        </w:rPr>
      </w:pPr>
      <w:r w:rsidRPr="001C6119">
        <w:rPr>
          <w:rFonts w:ascii="Arial" w:hAnsi="Arial" w:cs="Arial"/>
          <w:sz w:val="18"/>
          <w:szCs w:val="18"/>
        </w:rPr>
        <w:t>Fax +49 (0) 62 24 / 97 02-70</w:t>
      </w:r>
    </w:p>
    <w:p w:rsidR="00694F19" w:rsidRPr="001C6119" w:rsidRDefault="00BD6ADC" w:rsidP="00E8378C">
      <w:pPr>
        <w:rPr>
          <w:rFonts w:ascii="Arial" w:hAnsi="Arial" w:cs="Arial"/>
        </w:rPr>
      </w:pPr>
      <w:hyperlink r:id="rId10" w:history="1">
        <w:r w:rsidR="00694F19">
          <w:rPr>
            <w:rStyle w:val="Hyperlink"/>
            <w:rFonts w:ascii="Arial" w:hAnsi="Arial" w:cs="Arial"/>
            <w:sz w:val="18"/>
            <w:szCs w:val="18"/>
          </w:rPr>
          <w:t>zimmermann</w:t>
        </w:r>
        <w:r w:rsidR="00694F19" w:rsidRPr="005E2142">
          <w:rPr>
            <w:rStyle w:val="Hyperlink"/>
            <w:rFonts w:ascii="Arial" w:hAnsi="Arial" w:cs="Arial"/>
            <w:sz w:val="18"/>
            <w:szCs w:val="18"/>
          </w:rPr>
          <w:t>@dehoust.de</w:t>
        </w:r>
      </w:hyperlink>
    </w:p>
    <w:sectPr w:rsidR="00694F19" w:rsidRPr="001C6119" w:rsidSect="00E6169E">
      <w:headerReference w:type="default" r:id="rId11"/>
      <w:pgSz w:w="11900" w:h="16840"/>
      <w:pgMar w:top="1276" w:right="985"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ADC" w:rsidRDefault="00BD6ADC" w:rsidP="00B470AE">
      <w:r>
        <w:separator/>
      </w:r>
    </w:p>
  </w:endnote>
  <w:endnote w:type="continuationSeparator" w:id="0">
    <w:p w:rsidR="00BD6ADC" w:rsidRDefault="00BD6ADC" w:rsidP="00B4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ADC" w:rsidRDefault="00BD6ADC" w:rsidP="00B470AE">
      <w:r>
        <w:separator/>
      </w:r>
    </w:p>
  </w:footnote>
  <w:footnote w:type="continuationSeparator" w:id="0">
    <w:p w:rsidR="00BD6ADC" w:rsidRDefault="00BD6ADC" w:rsidP="00B4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F19" w:rsidRDefault="000039A7">
    <w:pPr>
      <w:pStyle w:val="Kopfzeile"/>
    </w:pPr>
    <w:r>
      <w:rPr>
        <w:noProof/>
        <w:lang w:eastAsia="de-DE"/>
      </w:rPr>
      <w:drawing>
        <wp:anchor distT="0" distB="0" distL="114300" distR="114300" simplePos="0" relativeHeight="251657728" behindDoc="1" locked="0" layoutInCell="1" allowOverlap="1">
          <wp:simplePos x="0" y="0"/>
          <wp:positionH relativeFrom="page">
            <wp:posOffset>0</wp:posOffset>
          </wp:positionH>
          <wp:positionV relativeFrom="page">
            <wp:posOffset>0</wp:posOffset>
          </wp:positionV>
          <wp:extent cx="7560310" cy="10680700"/>
          <wp:effectExtent l="0" t="0" r="2540" b="6350"/>
          <wp:wrapNone/>
          <wp:docPr id="1" name="Bild 1" descr="Back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ack_Wor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07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C6527"/>
    <w:multiLevelType w:val="hybridMultilevel"/>
    <w:tmpl w:val="A0427CBA"/>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1DF1CC0"/>
    <w:multiLevelType w:val="hybridMultilevel"/>
    <w:tmpl w:val="742C17E2"/>
    <w:lvl w:ilvl="0" w:tplc="E06C1838">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8D652D2"/>
    <w:multiLevelType w:val="hybridMultilevel"/>
    <w:tmpl w:val="F49A678C"/>
    <w:lvl w:ilvl="0" w:tplc="04070001">
      <w:start w:val="1"/>
      <w:numFmt w:val="bullet"/>
      <w:lvlText w:val=""/>
      <w:lvlJc w:val="left"/>
      <w:pPr>
        <w:ind w:left="360" w:hanging="360"/>
      </w:pPr>
      <w:rPr>
        <w:rFonts w:ascii="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cs="Wingdings" w:hint="default"/>
      </w:rPr>
    </w:lvl>
    <w:lvl w:ilvl="3" w:tplc="04070001" w:tentative="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05"/>
    <w:rsid w:val="000039A7"/>
    <w:rsid w:val="00021323"/>
    <w:rsid w:val="0003189F"/>
    <w:rsid w:val="000470A7"/>
    <w:rsid w:val="000643A0"/>
    <w:rsid w:val="0009344A"/>
    <w:rsid w:val="000C36F4"/>
    <w:rsid w:val="000D0A09"/>
    <w:rsid w:val="000D7C32"/>
    <w:rsid w:val="000E2A63"/>
    <w:rsid w:val="001009EE"/>
    <w:rsid w:val="001064A9"/>
    <w:rsid w:val="00112D3F"/>
    <w:rsid w:val="00127EDF"/>
    <w:rsid w:val="0013346C"/>
    <w:rsid w:val="0014278B"/>
    <w:rsid w:val="00166D31"/>
    <w:rsid w:val="001718E1"/>
    <w:rsid w:val="001768A7"/>
    <w:rsid w:val="00180154"/>
    <w:rsid w:val="00195A3D"/>
    <w:rsid w:val="001B0BE3"/>
    <w:rsid w:val="001B7590"/>
    <w:rsid w:val="001C24B5"/>
    <w:rsid w:val="001C6119"/>
    <w:rsid w:val="001D463E"/>
    <w:rsid w:val="001D62DB"/>
    <w:rsid w:val="001D7B86"/>
    <w:rsid w:val="001E7366"/>
    <w:rsid w:val="001F2D26"/>
    <w:rsid w:val="0020710B"/>
    <w:rsid w:val="002309F3"/>
    <w:rsid w:val="0023175F"/>
    <w:rsid w:val="002354D1"/>
    <w:rsid w:val="00245249"/>
    <w:rsid w:val="00282E82"/>
    <w:rsid w:val="00291C22"/>
    <w:rsid w:val="002A692E"/>
    <w:rsid w:val="002E17BF"/>
    <w:rsid w:val="002E5E91"/>
    <w:rsid w:val="003013D5"/>
    <w:rsid w:val="003113F3"/>
    <w:rsid w:val="00326FFC"/>
    <w:rsid w:val="00332363"/>
    <w:rsid w:val="00347388"/>
    <w:rsid w:val="00354035"/>
    <w:rsid w:val="003729B5"/>
    <w:rsid w:val="00380A4F"/>
    <w:rsid w:val="00387A8E"/>
    <w:rsid w:val="003A1161"/>
    <w:rsid w:val="003A5AB1"/>
    <w:rsid w:val="003B2943"/>
    <w:rsid w:val="003B5700"/>
    <w:rsid w:val="003C7578"/>
    <w:rsid w:val="003D6D99"/>
    <w:rsid w:val="003D6DC5"/>
    <w:rsid w:val="00404030"/>
    <w:rsid w:val="00415199"/>
    <w:rsid w:val="00422E44"/>
    <w:rsid w:val="004238D4"/>
    <w:rsid w:val="00426749"/>
    <w:rsid w:val="0043438A"/>
    <w:rsid w:val="00442400"/>
    <w:rsid w:val="00452B0E"/>
    <w:rsid w:val="0045384E"/>
    <w:rsid w:val="004A14EE"/>
    <w:rsid w:val="004A1889"/>
    <w:rsid w:val="004B11D6"/>
    <w:rsid w:val="004C0ADA"/>
    <w:rsid w:val="004C3BD7"/>
    <w:rsid w:val="004E0DC4"/>
    <w:rsid w:val="004F22D5"/>
    <w:rsid w:val="004F40C8"/>
    <w:rsid w:val="004F4F74"/>
    <w:rsid w:val="005047DD"/>
    <w:rsid w:val="00527EF0"/>
    <w:rsid w:val="00530661"/>
    <w:rsid w:val="00531E79"/>
    <w:rsid w:val="00540F12"/>
    <w:rsid w:val="00541D95"/>
    <w:rsid w:val="0054524E"/>
    <w:rsid w:val="00550F00"/>
    <w:rsid w:val="005625FA"/>
    <w:rsid w:val="00571DF4"/>
    <w:rsid w:val="00573EFB"/>
    <w:rsid w:val="005864C2"/>
    <w:rsid w:val="0059123D"/>
    <w:rsid w:val="00596D36"/>
    <w:rsid w:val="005A3CCD"/>
    <w:rsid w:val="005B099A"/>
    <w:rsid w:val="005B6A80"/>
    <w:rsid w:val="005C790A"/>
    <w:rsid w:val="005E2142"/>
    <w:rsid w:val="005E3C8E"/>
    <w:rsid w:val="00611FBA"/>
    <w:rsid w:val="00627D39"/>
    <w:rsid w:val="00635BAE"/>
    <w:rsid w:val="00641028"/>
    <w:rsid w:val="00657001"/>
    <w:rsid w:val="006662E4"/>
    <w:rsid w:val="00667C62"/>
    <w:rsid w:val="0067252A"/>
    <w:rsid w:val="00677B5D"/>
    <w:rsid w:val="00681188"/>
    <w:rsid w:val="00694BDE"/>
    <w:rsid w:val="00694F19"/>
    <w:rsid w:val="0069620A"/>
    <w:rsid w:val="00697863"/>
    <w:rsid w:val="006A5524"/>
    <w:rsid w:val="006B1636"/>
    <w:rsid w:val="006B69B4"/>
    <w:rsid w:val="006D0854"/>
    <w:rsid w:val="00703FA4"/>
    <w:rsid w:val="00712A87"/>
    <w:rsid w:val="007233FE"/>
    <w:rsid w:val="0074249E"/>
    <w:rsid w:val="00744F83"/>
    <w:rsid w:val="00756322"/>
    <w:rsid w:val="007653BF"/>
    <w:rsid w:val="007742FF"/>
    <w:rsid w:val="00776E4A"/>
    <w:rsid w:val="00790A86"/>
    <w:rsid w:val="007A102C"/>
    <w:rsid w:val="007C472C"/>
    <w:rsid w:val="00801C98"/>
    <w:rsid w:val="0080532A"/>
    <w:rsid w:val="00807864"/>
    <w:rsid w:val="008171DE"/>
    <w:rsid w:val="0084568E"/>
    <w:rsid w:val="00861107"/>
    <w:rsid w:val="00861639"/>
    <w:rsid w:val="00867367"/>
    <w:rsid w:val="00892305"/>
    <w:rsid w:val="008A4E0F"/>
    <w:rsid w:val="008B14AE"/>
    <w:rsid w:val="008B5EA3"/>
    <w:rsid w:val="008C6C14"/>
    <w:rsid w:val="008D4FF3"/>
    <w:rsid w:val="008E0FCE"/>
    <w:rsid w:val="008E6DC9"/>
    <w:rsid w:val="008F1F28"/>
    <w:rsid w:val="008F1F4D"/>
    <w:rsid w:val="008F25D9"/>
    <w:rsid w:val="008F407A"/>
    <w:rsid w:val="00901A0F"/>
    <w:rsid w:val="00927954"/>
    <w:rsid w:val="00930A3B"/>
    <w:rsid w:val="00936692"/>
    <w:rsid w:val="0097364E"/>
    <w:rsid w:val="009822F7"/>
    <w:rsid w:val="00991AFF"/>
    <w:rsid w:val="00993928"/>
    <w:rsid w:val="009D5DF2"/>
    <w:rsid w:val="009F298D"/>
    <w:rsid w:val="009F795D"/>
    <w:rsid w:val="00A05A73"/>
    <w:rsid w:val="00A172AB"/>
    <w:rsid w:val="00A26428"/>
    <w:rsid w:val="00A27202"/>
    <w:rsid w:val="00A43913"/>
    <w:rsid w:val="00A86916"/>
    <w:rsid w:val="00AA3F2A"/>
    <w:rsid w:val="00AD25D1"/>
    <w:rsid w:val="00AF017B"/>
    <w:rsid w:val="00B20C81"/>
    <w:rsid w:val="00B2349B"/>
    <w:rsid w:val="00B3009F"/>
    <w:rsid w:val="00B4163A"/>
    <w:rsid w:val="00B470AE"/>
    <w:rsid w:val="00B7239F"/>
    <w:rsid w:val="00B91A74"/>
    <w:rsid w:val="00BA12BA"/>
    <w:rsid w:val="00BD04BA"/>
    <w:rsid w:val="00BD6ADC"/>
    <w:rsid w:val="00BE31D8"/>
    <w:rsid w:val="00C03F12"/>
    <w:rsid w:val="00C10530"/>
    <w:rsid w:val="00C60E2E"/>
    <w:rsid w:val="00C61A32"/>
    <w:rsid w:val="00C70069"/>
    <w:rsid w:val="00C857E1"/>
    <w:rsid w:val="00CB1A5A"/>
    <w:rsid w:val="00CC04CD"/>
    <w:rsid w:val="00CD02F5"/>
    <w:rsid w:val="00CD14C2"/>
    <w:rsid w:val="00CD2881"/>
    <w:rsid w:val="00CD4AFB"/>
    <w:rsid w:val="00CD6B73"/>
    <w:rsid w:val="00CE62A2"/>
    <w:rsid w:val="00CF3926"/>
    <w:rsid w:val="00CF3AC6"/>
    <w:rsid w:val="00D041FE"/>
    <w:rsid w:val="00D11627"/>
    <w:rsid w:val="00D146FC"/>
    <w:rsid w:val="00D23B31"/>
    <w:rsid w:val="00D369A6"/>
    <w:rsid w:val="00D46C62"/>
    <w:rsid w:val="00D8228A"/>
    <w:rsid w:val="00D85D32"/>
    <w:rsid w:val="00D92B33"/>
    <w:rsid w:val="00D93BCE"/>
    <w:rsid w:val="00D96493"/>
    <w:rsid w:val="00DA18AD"/>
    <w:rsid w:val="00DA1E29"/>
    <w:rsid w:val="00DB0F2F"/>
    <w:rsid w:val="00DB7E36"/>
    <w:rsid w:val="00DC164E"/>
    <w:rsid w:val="00DD1672"/>
    <w:rsid w:val="00DF672D"/>
    <w:rsid w:val="00DF7A98"/>
    <w:rsid w:val="00E018FF"/>
    <w:rsid w:val="00E02216"/>
    <w:rsid w:val="00E377B0"/>
    <w:rsid w:val="00E5274A"/>
    <w:rsid w:val="00E5693E"/>
    <w:rsid w:val="00E6169E"/>
    <w:rsid w:val="00E67FFD"/>
    <w:rsid w:val="00E71127"/>
    <w:rsid w:val="00E721FB"/>
    <w:rsid w:val="00E8378C"/>
    <w:rsid w:val="00EA14A1"/>
    <w:rsid w:val="00EA3274"/>
    <w:rsid w:val="00EA46DA"/>
    <w:rsid w:val="00ED26A9"/>
    <w:rsid w:val="00EE044B"/>
    <w:rsid w:val="00EE19BF"/>
    <w:rsid w:val="00F0137D"/>
    <w:rsid w:val="00F20911"/>
    <w:rsid w:val="00F213E1"/>
    <w:rsid w:val="00F367A2"/>
    <w:rsid w:val="00F45E04"/>
    <w:rsid w:val="00F52C0C"/>
    <w:rsid w:val="00F86599"/>
    <w:rsid w:val="00F95271"/>
    <w:rsid w:val="00FA2FCC"/>
    <w:rsid w:val="00FA353D"/>
    <w:rsid w:val="00FB3286"/>
    <w:rsid w:val="00FC4537"/>
    <w:rsid w:val="00FD462A"/>
    <w:rsid w:val="00FE7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7591B9E-97E1-494B-939A-87E80B77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sz w:val="22"/>
        <w:szCs w:val="22"/>
        <w:lang w:val="de-DE" w:eastAsia="de-DE"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lsdException w:name="FollowedHyperlink" w:semiHidden="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A27202"/>
    <w:rPr>
      <w:rFonts w:ascii="Lucida Grande" w:hAnsi="Lucida Grande" w:cs="Lucida Grande"/>
      <w:sz w:val="24"/>
      <w:szCs w:val="24"/>
      <w:lang w:eastAsia="en-US"/>
    </w:rPr>
  </w:style>
  <w:style w:type="paragraph" w:styleId="berschrift1">
    <w:name w:val="heading 1"/>
    <w:basedOn w:val="Standard"/>
    <w:next w:val="berschrift2"/>
    <w:link w:val="berschrift1Zchn"/>
    <w:autoRedefine/>
    <w:qFormat/>
    <w:rsid w:val="005047DD"/>
    <w:pPr>
      <w:keepNext/>
      <w:spacing w:before="120" w:after="120" w:line="360" w:lineRule="auto"/>
      <w:outlineLvl w:val="0"/>
    </w:pPr>
    <w:rPr>
      <w:rFonts w:ascii="Arial" w:eastAsia="Times New Roman" w:hAnsi="Arial" w:cs="Times New Roman"/>
      <w:b/>
      <w:kern w:val="28"/>
      <w:sz w:val="32"/>
      <w:szCs w:val="32"/>
      <w:u w:val="single"/>
      <w:lang w:eastAsia="de-DE"/>
    </w:rPr>
  </w:style>
  <w:style w:type="paragraph" w:styleId="berschrift2">
    <w:name w:val="heading 2"/>
    <w:basedOn w:val="Standard"/>
    <w:next w:val="Standard"/>
    <w:link w:val="berschrift2Zchn"/>
    <w:uiPriority w:val="9"/>
    <w:semiHidden/>
    <w:unhideWhenUsed/>
    <w:qFormat/>
    <w:rsid w:val="005047D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892305"/>
    <w:pPr>
      <w:tabs>
        <w:tab w:val="center" w:pos="4536"/>
        <w:tab w:val="right" w:pos="9072"/>
      </w:tabs>
    </w:pPr>
  </w:style>
  <w:style w:type="character" w:customStyle="1" w:styleId="KopfzeileZchn">
    <w:name w:val="Kopfzeile Zchn"/>
    <w:basedOn w:val="Absatz-Standardschriftart"/>
    <w:link w:val="Kopfzeile"/>
    <w:uiPriority w:val="99"/>
    <w:semiHidden/>
    <w:rsid w:val="00892305"/>
  </w:style>
  <w:style w:type="paragraph" w:styleId="Fuzeile">
    <w:name w:val="footer"/>
    <w:basedOn w:val="Standard"/>
    <w:link w:val="FuzeileZchn"/>
    <w:uiPriority w:val="99"/>
    <w:semiHidden/>
    <w:rsid w:val="00892305"/>
    <w:pPr>
      <w:tabs>
        <w:tab w:val="center" w:pos="4536"/>
        <w:tab w:val="right" w:pos="9072"/>
      </w:tabs>
    </w:pPr>
  </w:style>
  <w:style w:type="character" w:customStyle="1" w:styleId="FuzeileZchn">
    <w:name w:val="Fußzeile Zchn"/>
    <w:basedOn w:val="Absatz-Standardschriftart"/>
    <w:link w:val="Fuzeile"/>
    <w:uiPriority w:val="99"/>
    <w:semiHidden/>
    <w:rsid w:val="00892305"/>
  </w:style>
  <w:style w:type="paragraph" w:styleId="Listenabsatz">
    <w:name w:val="List Paragraph"/>
    <w:basedOn w:val="Standard"/>
    <w:uiPriority w:val="99"/>
    <w:qFormat/>
    <w:rsid w:val="00A27202"/>
    <w:pPr>
      <w:ind w:left="720"/>
      <w:contextualSpacing/>
    </w:pPr>
  </w:style>
  <w:style w:type="character" w:styleId="Hyperlink">
    <w:name w:val="Hyperlink"/>
    <w:basedOn w:val="Absatz-Standardschriftart"/>
    <w:rsid w:val="000D7C32"/>
    <w:rPr>
      <w:color w:val="0000FF"/>
      <w:u w:val="single"/>
    </w:rPr>
  </w:style>
  <w:style w:type="character" w:styleId="BesuchterLink">
    <w:name w:val="FollowedHyperlink"/>
    <w:basedOn w:val="Absatz-Standardschriftart"/>
    <w:uiPriority w:val="99"/>
    <w:rsid w:val="000D7C32"/>
    <w:rPr>
      <w:color w:val="800080"/>
      <w:u w:val="single"/>
    </w:rPr>
  </w:style>
  <w:style w:type="paragraph" w:customStyle="1" w:styleId="EinfacherAbsatz">
    <w:name w:val="[Einfacher Absatz]"/>
    <w:basedOn w:val="Standard"/>
    <w:uiPriority w:val="99"/>
    <w:rsid w:val="000D7C32"/>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yiv2319876913msonormal">
    <w:name w:val="yiv2319876913msonormal"/>
    <w:basedOn w:val="Standard"/>
    <w:uiPriority w:val="99"/>
    <w:rsid w:val="004F40C8"/>
    <w:pPr>
      <w:spacing w:before="100" w:beforeAutospacing="1" w:after="100" w:afterAutospacing="1"/>
    </w:pPr>
    <w:rPr>
      <w:lang w:eastAsia="de-DE"/>
    </w:rPr>
  </w:style>
  <w:style w:type="character" w:customStyle="1" w:styleId="berschrift1Zchn">
    <w:name w:val="Überschrift 1 Zchn"/>
    <w:basedOn w:val="Absatz-Standardschriftart"/>
    <w:link w:val="berschrift1"/>
    <w:rsid w:val="005047DD"/>
    <w:rPr>
      <w:rFonts w:ascii="Arial" w:eastAsia="Times New Roman" w:hAnsi="Arial"/>
      <w:b/>
      <w:kern w:val="28"/>
      <w:sz w:val="32"/>
      <w:szCs w:val="32"/>
      <w:u w:val="single"/>
    </w:rPr>
  </w:style>
  <w:style w:type="character" w:customStyle="1" w:styleId="berschrift2Zchn">
    <w:name w:val="Überschrift 2 Zchn"/>
    <w:basedOn w:val="Absatz-Standardschriftart"/>
    <w:link w:val="berschrift2"/>
    <w:uiPriority w:val="9"/>
    <w:semiHidden/>
    <w:rsid w:val="005047DD"/>
    <w:rPr>
      <w:rFonts w:asciiTheme="majorHAnsi" w:eastAsiaTheme="majorEastAsia" w:hAnsiTheme="majorHAnsi" w:cstheme="majorBidi"/>
      <w:color w:val="365F91" w:themeColor="accent1" w:themeShade="BF"/>
      <w:sz w:val="26"/>
      <w:szCs w:val="26"/>
      <w:lang w:eastAsia="en-US"/>
    </w:rPr>
  </w:style>
  <w:style w:type="paragraph" w:customStyle="1" w:styleId="Text">
    <w:name w:val="Text"/>
    <w:basedOn w:val="Standard"/>
    <w:autoRedefine/>
    <w:rsid w:val="005047DD"/>
    <w:pPr>
      <w:spacing w:before="120" w:after="120" w:line="360" w:lineRule="auto"/>
    </w:pPr>
    <w:rPr>
      <w:rFonts w:ascii="Arial" w:eastAsia="Times New Roman" w:hAnsi="Arial" w:cs="Times New Roman"/>
      <w:sz w:val="20"/>
      <w:szCs w:val="20"/>
      <w:lang w:eastAsia="de-DE"/>
    </w:rPr>
  </w:style>
  <w:style w:type="paragraph" w:customStyle="1" w:styleId="Kopftext">
    <w:name w:val="Kopftext"/>
    <w:basedOn w:val="Standard"/>
    <w:next w:val="Text"/>
    <w:autoRedefine/>
    <w:rsid w:val="005047DD"/>
    <w:pPr>
      <w:spacing w:before="120" w:after="120" w:line="360" w:lineRule="auto"/>
    </w:pPr>
    <w:rPr>
      <w:rFonts w:ascii="Arial" w:eastAsia="Times New Roman" w:hAnsi="Arial" w:cs="Times New Roman"/>
      <w:b/>
      <w:sz w:val="20"/>
      <w:szCs w:val="20"/>
      <w:lang w:eastAsia="de-DE"/>
    </w:rPr>
  </w:style>
  <w:style w:type="paragraph" w:customStyle="1" w:styleId="Zwischentitel">
    <w:name w:val="Zwischentitel"/>
    <w:basedOn w:val="Text"/>
    <w:next w:val="Text"/>
    <w:autoRedefine/>
    <w:rsid w:val="005047DD"/>
    <w:rPr>
      <w:b/>
    </w:rPr>
  </w:style>
  <w:style w:type="character" w:styleId="Fett">
    <w:name w:val="Strong"/>
    <w:qFormat/>
    <w:rsid w:val="005047DD"/>
    <w:rPr>
      <w:b/>
      <w:bCs/>
    </w:rPr>
  </w:style>
  <w:style w:type="character" w:customStyle="1" w:styleId="asblock">
    <w:name w:val="as_block"/>
    <w:rsid w:val="00504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762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lutsch@dehoust.de" TargetMode="External"/><Relationship Id="rId4" Type="http://schemas.openxmlformats.org/officeDocument/2006/relationships/webSettings" Target="webSettings.xml"/><Relationship Id="rId9" Type="http://schemas.openxmlformats.org/officeDocument/2006/relationships/hyperlink" Target="http://www.dimebi.de/dehou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801</Words>
  <Characters>5053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SD</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c:creator>
  <cp:keywords/>
  <dc:description/>
  <cp:lastModifiedBy>Kevin Wiederstein</cp:lastModifiedBy>
  <cp:revision>2</cp:revision>
  <cp:lastPrinted>2016-09-27T08:38:00Z</cp:lastPrinted>
  <dcterms:created xsi:type="dcterms:W3CDTF">2016-12-13T10:01:00Z</dcterms:created>
  <dcterms:modified xsi:type="dcterms:W3CDTF">2016-12-13T10:01:00Z</dcterms:modified>
</cp:coreProperties>
</file>